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7B69D5" w:rsidP="005362BE">
      <w:pPr>
        <w:jc w:val="center"/>
        <w:rPr>
          <w:b/>
          <w:color w:val="1B1B1B"/>
          <w:shd w:val="clear" w:color="auto" w:fill="FFFFFF"/>
        </w:rPr>
      </w:pPr>
      <w:proofErr w:type="spellStart"/>
      <w:r>
        <w:rPr>
          <w:b/>
          <w:color w:val="1B1B1B"/>
          <w:shd w:val="clear" w:color="auto" w:fill="FFFFFF"/>
        </w:rPr>
        <w:t>Ravenstein’s</w:t>
      </w:r>
      <w:proofErr w:type="spellEnd"/>
      <w:r>
        <w:rPr>
          <w:b/>
          <w:color w:val="1B1B1B"/>
          <w:shd w:val="clear" w:color="auto" w:fill="FFFFFF"/>
        </w:rPr>
        <w:t xml:space="preserve"> Laws of Migration</w:t>
      </w:r>
    </w:p>
    <w:p w:rsidR="005E1DB3" w:rsidRDefault="005E1DB3" w:rsidP="005362BE">
      <w:pPr>
        <w:jc w:val="center"/>
        <w:rPr>
          <w:b/>
          <w:color w:val="1B1B1B"/>
          <w:shd w:val="clear" w:color="auto" w:fill="FFFFFF"/>
        </w:rPr>
      </w:pPr>
    </w:p>
    <w:p w:rsidR="005E1DB3" w:rsidRDefault="005E1DB3" w:rsidP="005362BE">
      <w:pPr>
        <w:jc w:val="center"/>
        <w:rPr>
          <w:b/>
          <w:color w:val="1B1B1B"/>
          <w:shd w:val="clear" w:color="auto" w:fill="FFFFFF"/>
        </w:rPr>
      </w:pPr>
    </w:p>
    <w:p w:rsidR="005E1DB3" w:rsidRDefault="005E1DB3" w:rsidP="005362BE">
      <w:pPr>
        <w:jc w:val="center"/>
        <w:rPr>
          <w:b/>
          <w:color w:val="1B1B1B"/>
          <w:shd w:val="clear" w:color="auto" w:fill="FFFFFF"/>
        </w:rPr>
      </w:pPr>
    </w:p>
    <w:p w:rsidR="005E1DB3" w:rsidRDefault="005E1DB3" w:rsidP="005362BE">
      <w:pPr>
        <w:jc w:val="center"/>
        <w:rPr>
          <w:b/>
          <w:color w:val="1B1B1B"/>
          <w:shd w:val="clear" w:color="auto" w:fill="FFFFFF"/>
        </w:rPr>
      </w:pPr>
    </w:p>
    <w:p w:rsidR="005E1DB3" w:rsidRDefault="005E1DB3" w:rsidP="005362BE">
      <w:pPr>
        <w:jc w:val="center"/>
        <w:rPr>
          <w:b/>
          <w:color w:val="1B1B1B"/>
          <w:shd w:val="clear" w:color="auto" w:fill="FFFFFF"/>
        </w:rPr>
      </w:pPr>
    </w:p>
    <w:p w:rsidR="005E1DB3" w:rsidRPr="005362BE" w:rsidRDefault="007B69D5" w:rsidP="005362BE">
      <w:pPr>
        <w:jc w:val="center"/>
        <w:rPr>
          <w:color w:val="1B1B1B"/>
          <w:shd w:val="clear" w:color="auto" w:fill="FFFFFF"/>
        </w:rPr>
      </w:pPr>
      <w:r w:rsidRPr="005362BE">
        <w:rPr>
          <w:color w:val="1B1B1B"/>
          <w:shd w:val="clear" w:color="auto" w:fill="FFFFFF"/>
        </w:rPr>
        <w:t>Name</w:t>
      </w:r>
    </w:p>
    <w:p w:rsidR="005E1DB3" w:rsidRPr="005362BE" w:rsidRDefault="007B69D5" w:rsidP="005362BE">
      <w:pPr>
        <w:jc w:val="center"/>
        <w:rPr>
          <w:color w:val="1B1B1B"/>
          <w:shd w:val="clear" w:color="auto" w:fill="FFFFFF"/>
        </w:rPr>
      </w:pPr>
      <w:r w:rsidRPr="005362BE">
        <w:rPr>
          <w:color w:val="1B1B1B"/>
          <w:shd w:val="clear" w:color="auto" w:fill="FFFFFF"/>
        </w:rPr>
        <w:t>Institution</w:t>
      </w:r>
      <w:r w:rsidR="005362BE" w:rsidRPr="005362BE">
        <w:rPr>
          <w:color w:val="1B1B1B"/>
          <w:shd w:val="clear" w:color="auto" w:fill="FFFFFF"/>
        </w:rPr>
        <w:t xml:space="preserve"> of Affiliation</w:t>
      </w:r>
    </w:p>
    <w:p w:rsidR="005E1DB3" w:rsidRPr="005362BE" w:rsidRDefault="007B69D5" w:rsidP="005362BE">
      <w:pPr>
        <w:jc w:val="center"/>
        <w:rPr>
          <w:color w:val="1B1B1B"/>
          <w:shd w:val="clear" w:color="auto" w:fill="FFFFFF"/>
        </w:rPr>
      </w:pPr>
      <w:r w:rsidRPr="005362BE">
        <w:rPr>
          <w:color w:val="1B1B1B"/>
          <w:shd w:val="clear" w:color="auto" w:fill="FFFFFF"/>
        </w:rPr>
        <w:t>Professor</w:t>
      </w:r>
    </w:p>
    <w:p w:rsidR="005E1DB3" w:rsidRDefault="007B69D5" w:rsidP="005362BE">
      <w:pPr>
        <w:jc w:val="center"/>
        <w:rPr>
          <w:b/>
          <w:color w:val="1B1B1B"/>
          <w:shd w:val="clear" w:color="auto" w:fill="FFFFFF"/>
        </w:rPr>
      </w:pPr>
      <w:r w:rsidRPr="005362BE">
        <w:rPr>
          <w:color w:val="1B1B1B"/>
          <w:shd w:val="clear" w:color="auto" w:fill="FFFFFF"/>
        </w:rPr>
        <w:t>Date</w:t>
      </w:r>
    </w:p>
    <w:p w:rsidR="005E1DB3" w:rsidRDefault="005E1DB3">
      <w:pPr>
        <w:ind w:firstLine="284"/>
        <w:jc w:val="center"/>
        <w:rPr>
          <w:b/>
          <w:color w:val="1B1B1B"/>
          <w:shd w:val="clear" w:color="auto" w:fill="FFFFFF"/>
        </w:rPr>
      </w:pPr>
    </w:p>
    <w:p w:rsidR="005E1DB3" w:rsidRDefault="005E1DB3">
      <w:pPr>
        <w:ind w:firstLine="284"/>
        <w:jc w:val="center"/>
        <w:rPr>
          <w:b/>
          <w:color w:val="1B1B1B"/>
          <w:shd w:val="clear" w:color="auto" w:fill="FFFFFF"/>
        </w:rPr>
      </w:pPr>
    </w:p>
    <w:p w:rsidR="005E1DB3" w:rsidRDefault="005E1DB3">
      <w:pPr>
        <w:ind w:firstLine="284"/>
        <w:rPr>
          <w:b/>
          <w:color w:val="1B1B1B"/>
          <w:shd w:val="clear" w:color="auto" w:fill="FFFFFF"/>
        </w:rPr>
      </w:pPr>
    </w:p>
    <w:p w:rsidR="005E1DB3" w:rsidRDefault="005E1DB3">
      <w:pPr>
        <w:ind w:firstLine="284"/>
        <w:rPr>
          <w:b/>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Pr="005362BE" w:rsidRDefault="007B69D5" w:rsidP="005362BE">
      <w:pPr>
        <w:jc w:val="center"/>
        <w:rPr>
          <w:b/>
          <w:color w:val="1B1B1B"/>
          <w:shd w:val="clear" w:color="auto" w:fill="FFFFFF"/>
        </w:rPr>
      </w:pPr>
      <w:proofErr w:type="spellStart"/>
      <w:r w:rsidRPr="005362BE">
        <w:rPr>
          <w:b/>
          <w:color w:val="1B1B1B"/>
          <w:shd w:val="clear" w:color="auto" w:fill="FFFFFF"/>
        </w:rPr>
        <w:lastRenderedPageBreak/>
        <w:t>Ravenstein’s</w:t>
      </w:r>
      <w:proofErr w:type="spellEnd"/>
      <w:r w:rsidRPr="005362BE">
        <w:rPr>
          <w:b/>
          <w:color w:val="1B1B1B"/>
          <w:shd w:val="clear" w:color="auto" w:fill="FFFFFF"/>
        </w:rPr>
        <w:t xml:space="preserve"> </w:t>
      </w:r>
      <w:r w:rsidR="005362BE" w:rsidRPr="005362BE">
        <w:rPr>
          <w:b/>
          <w:color w:val="1B1B1B"/>
          <w:shd w:val="clear" w:color="auto" w:fill="FFFFFF"/>
        </w:rPr>
        <w:t>Laws of Migration</w:t>
      </w:r>
    </w:p>
    <w:p w:rsidR="005E1DB3" w:rsidRDefault="007B69D5" w:rsidP="005362BE">
      <w:pPr>
        <w:ind w:firstLine="720"/>
        <w:rPr>
          <w:color w:val="1B1B1B"/>
          <w:shd w:val="clear" w:color="auto" w:fill="FFFFFF"/>
        </w:rPr>
      </w:pPr>
      <w:r>
        <w:rPr>
          <w:color w:val="1B1B1B"/>
          <w:shd w:val="clear" w:color="auto" w:fill="FFFFFF"/>
        </w:rPr>
        <w:t xml:space="preserve">According to </w:t>
      </w:r>
      <w:proofErr w:type="spellStart"/>
      <w:r>
        <w:rPr>
          <w:color w:val="1B1B1B"/>
          <w:shd w:val="clear" w:color="auto" w:fill="FFFFFF"/>
        </w:rPr>
        <w:t>Ravenstein</w:t>
      </w:r>
      <w:proofErr w:type="spellEnd"/>
      <w:r>
        <w:rPr>
          <w:color w:val="1B1B1B"/>
          <w:shd w:val="clear" w:color="auto" w:fill="FFFFFF"/>
        </w:rPr>
        <w:t xml:space="preserve">, people often only move to shorter distances when they migrate. Since moving to shorter distances is financially </w:t>
      </w:r>
      <w:r>
        <w:rPr>
          <w:color w:val="1B1B1B"/>
          <w:shd w:val="clear" w:color="auto" w:fill="FFFFFF"/>
        </w:rPr>
        <w:t>cost-effective and a little easier, then people who migrate prefer avoiding unnecessary travel costs. Moving to shorter distances is also very convenient besides being affordable for many people who want to move (Greenwood, 2019). At the same time, the pro</w:t>
      </w:r>
      <w:r>
        <w:rPr>
          <w:color w:val="1B1B1B"/>
          <w:shd w:val="clear" w:color="auto" w:fill="FFFFFF"/>
        </w:rPr>
        <w:t>cess of absorption occurs when in the process of people migrating they settle in an area where there are many pull factors. An example would be a mining center where individuals who are closest to the mines move to the mining areas.</w:t>
      </w:r>
    </w:p>
    <w:p w:rsidR="005E1DB3" w:rsidRDefault="007B69D5">
      <w:pPr>
        <w:ind w:firstLine="284"/>
        <w:rPr>
          <w:color w:val="1B1B1B"/>
          <w:shd w:val="clear" w:color="auto" w:fill="FFFFFF"/>
        </w:rPr>
      </w:pPr>
      <w:r>
        <w:rPr>
          <w:color w:val="1B1B1B"/>
          <w:shd w:val="clear" w:color="auto" w:fill="FFFFFF"/>
        </w:rPr>
        <w:t xml:space="preserve"> </w:t>
      </w:r>
      <w:r w:rsidR="005362BE">
        <w:rPr>
          <w:color w:val="1B1B1B"/>
          <w:shd w:val="clear" w:color="auto" w:fill="FFFFFF"/>
        </w:rPr>
        <w:tab/>
      </w:r>
      <w:r>
        <w:rPr>
          <w:color w:val="1B1B1B"/>
          <w:shd w:val="clear" w:color="auto" w:fill="FFFFFF"/>
        </w:rPr>
        <w:t>Consequently, the peop</w:t>
      </w:r>
      <w:r>
        <w:rPr>
          <w:color w:val="1B1B1B"/>
          <w:shd w:val="clear" w:color="auto" w:fill="FFFFFF"/>
        </w:rPr>
        <w:t>le living next to those who moved to the mines move to the areas where those who moved to the mines initially lived. The trend continues as the other people who live next to this new category also move to replace them in their former residence. Regarding t</w:t>
      </w:r>
      <w:r>
        <w:rPr>
          <w:color w:val="1B1B1B"/>
          <w:shd w:val="clear" w:color="auto" w:fill="FFFFFF"/>
        </w:rPr>
        <w:t xml:space="preserve">he law of dispersion, </w:t>
      </w:r>
      <w:proofErr w:type="spellStart"/>
      <w:r>
        <w:rPr>
          <w:color w:val="1B1B1B"/>
          <w:shd w:val="clear" w:color="auto" w:fill="FFFFFF"/>
        </w:rPr>
        <w:t>Ravenstein</w:t>
      </w:r>
      <w:proofErr w:type="spellEnd"/>
      <w:r>
        <w:rPr>
          <w:color w:val="1B1B1B"/>
          <w:shd w:val="clear" w:color="auto" w:fill="FFFFFF"/>
        </w:rPr>
        <w:t xml:space="preserve"> argues that there exists a law of dispersion. According to this law, people do not move massively. Instead</w:t>
      </w:r>
      <w:r>
        <w:rPr>
          <w:color w:val="1B1B1B"/>
          <w:shd w:val="clear" w:color="auto" w:fill="FFFFFF"/>
        </w:rPr>
        <w:t>,</w:t>
      </w:r>
      <w:r>
        <w:rPr>
          <w:color w:val="1B1B1B"/>
          <w:shd w:val="clear" w:color="auto" w:fill="FFFFFF"/>
        </w:rPr>
        <w:t xml:space="preserve"> people move in very small numbers and it takes time for a population to move from one point to another. Populations</w:t>
      </w:r>
      <w:r>
        <w:rPr>
          <w:color w:val="1B1B1B"/>
          <w:shd w:val="clear" w:color="auto" w:fill="FFFFFF"/>
        </w:rPr>
        <w:t xml:space="preserve"> do not move a long distance at a go rather move to fill in existing gaps.</w:t>
      </w:r>
    </w:p>
    <w:p w:rsidR="005E1DB3" w:rsidRDefault="007B69D5">
      <w:pPr>
        <w:ind w:firstLine="284"/>
        <w:rPr>
          <w:color w:val="1B1B1B"/>
          <w:shd w:val="clear" w:color="auto" w:fill="FFFFFF"/>
        </w:rPr>
      </w:pPr>
      <w:r>
        <w:rPr>
          <w:color w:val="1B1B1B"/>
          <w:shd w:val="clear" w:color="auto" w:fill="FFFFFF"/>
        </w:rPr>
        <w:t xml:space="preserve"> </w:t>
      </w:r>
      <w:r w:rsidR="005362BE">
        <w:rPr>
          <w:color w:val="1B1B1B"/>
          <w:shd w:val="clear" w:color="auto" w:fill="FFFFFF"/>
        </w:rPr>
        <w:tab/>
      </w:r>
      <w:proofErr w:type="spellStart"/>
      <w:r>
        <w:rPr>
          <w:color w:val="1B1B1B"/>
          <w:shd w:val="clear" w:color="auto" w:fill="FFFFFF"/>
        </w:rPr>
        <w:t>Ravenstein</w:t>
      </w:r>
      <w:proofErr w:type="spellEnd"/>
      <w:r>
        <w:rPr>
          <w:color w:val="1B1B1B"/>
          <w:shd w:val="clear" w:color="auto" w:fill="FFFFFF"/>
        </w:rPr>
        <w:t xml:space="preserve"> also argues that each migration pattern always has a counter-pattern. As a result, if one wants to move then another person must move so that another replaces them in th</w:t>
      </w:r>
      <w:r>
        <w:rPr>
          <w:color w:val="1B1B1B"/>
          <w:shd w:val="clear" w:color="auto" w:fill="FFFFFF"/>
        </w:rPr>
        <w:t xml:space="preserve">eir former residence. </w:t>
      </w:r>
      <w:proofErr w:type="spellStart"/>
      <w:r>
        <w:rPr>
          <w:color w:val="1B1B1B"/>
          <w:shd w:val="clear" w:color="auto" w:fill="FFFFFF"/>
        </w:rPr>
        <w:t>Ravenstein</w:t>
      </w:r>
      <w:proofErr w:type="spellEnd"/>
      <w:r>
        <w:rPr>
          <w:color w:val="1B1B1B"/>
          <w:shd w:val="clear" w:color="auto" w:fill="FFFFFF"/>
        </w:rPr>
        <w:t xml:space="preserve"> further argues that for the few migrants who move to longer distances, they only move to settle in industries and commercial centers. Economic factors are thus key causal factors of migration. Additionally, </w:t>
      </w:r>
      <w:proofErr w:type="spellStart"/>
      <w:r>
        <w:rPr>
          <w:color w:val="1B1B1B"/>
          <w:shd w:val="clear" w:color="auto" w:fill="FFFFFF"/>
        </w:rPr>
        <w:t>Ravenstein</w:t>
      </w:r>
      <w:proofErr w:type="spellEnd"/>
      <w:r>
        <w:rPr>
          <w:color w:val="1B1B1B"/>
          <w:shd w:val="clear" w:color="auto" w:fill="FFFFFF"/>
        </w:rPr>
        <w:t xml:space="preserve"> views</w:t>
      </w:r>
      <w:r>
        <w:rPr>
          <w:color w:val="1B1B1B"/>
          <w:shd w:val="clear" w:color="auto" w:fill="FFFFFF"/>
        </w:rPr>
        <w:t xml:space="preserve"> urban dwellers as more likely to migrate than rural dwellers. Urban cities are more appealing to young people. Rural areas also have tough living conditions that are unsuitable for young people to live and thus push them to urban areas (Sun, 2019). </w:t>
      </w:r>
    </w:p>
    <w:p w:rsidR="005E1DB3" w:rsidRDefault="007B69D5" w:rsidP="005362BE">
      <w:pPr>
        <w:ind w:firstLine="720"/>
        <w:rPr>
          <w:color w:val="1B1B1B"/>
          <w:shd w:val="clear" w:color="auto" w:fill="FFFFFF"/>
        </w:rPr>
      </w:pPr>
      <w:proofErr w:type="spellStart"/>
      <w:r>
        <w:rPr>
          <w:color w:val="1B1B1B"/>
          <w:shd w:val="clear" w:color="auto" w:fill="FFFFFF"/>
        </w:rPr>
        <w:lastRenderedPageBreak/>
        <w:t>Raven</w:t>
      </w:r>
      <w:r>
        <w:rPr>
          <w:color w:val="1B1B1B"/>
          <w:shd w:val="clear" w:color="auto" w:fill="FFFFFF"/>
        </w:rPr>
        <w:t>stein</w:t>
      </w:r>
      <w:proofErr w:type="spellEnd"/>
      <w:r>
        <w:rPr>
          <w:color w:val="1B1B1B"/>
          <w:shd w:val="clear" w:color="auto" w:fill="FFFFFF"/>
        </w:rPr>
        <w:t xml:space="preserve"> also observes that while men prefer to migrate internationally, women prefer to migrate within a country because of the unbalanced job fields. Further, populated areas attract more people. At the same time, while transportation becomes easier and int</w:t>
      </w:r>
      <w:r>
        <w:rPr>
          <w:color w:val="1B1B1B"/>
          <w:shd w:val="clear" w:color="auto" w:fill="FFFFFF"/>
        </w:rPr>
        <w:t>ense and industries grow, then migration rates also increase (Greenwood, 2019).</w:t>
      </w:r>
    </w:p>
    <w:p w:rsidR="005E1DB3" w:rsidRDefault="007B69D5">
      <w:pPr>
        <w:ind w:firstLine="284"/>
        <w:rPr>
          <w:color w:val="1B1B1B"/>
          <w:shd w:val="clear" w:color="auto" w:fill="FFFFFF"/>
        </w:rPr>
      </w:pPr>
      <w:r>
        <w:rPr>
          <w:color w:val="1B1B1B"/>
          <w:shd w:val="clear" w:color="auto" w:fill="FFFFFF"/>
        </w:rPr>
        <w:t xml:space="preserve"> </w:t>
      </w:r>
      <w:r w:rsidR="005362BE">
        <w:rPr>
          <w:color w:val="1B1B1B"/>
          <w:shd w:val="clear" w:color="auto" w:fill="FFFFFF"/>
        </w:rPr>
        <w:tab/>
      </w:r>
      <w:r>
        <w:rPr>
          <w:color w:val="1B1B1B"/>
          <w:shd w:val="clear" w:color="auto" w:fill="FFFFFF"/>
        </w:rPr>
        <w:t xml:space="preserve">I agree with </w:t>
      </w:r>
      <w:proofErr w:type="spellStart"/>
      <w:r>
        <w:rPr>
          <w:color w:val="1B1B1B"/>
          <w:shd w:val="clear" w:color="auto" w:fill="FFFFFF"/>
        </w:rPr>
        <w:t>Ravenstein’s</w:t>
      </w:r>
      <w:proofErr w:type="spellEnd"/>
      <w:r>
        <w:rPr>
          <w:color w:val="1B1B1B"/>
          <w:shd w:val="clear" w:color="auto" w:fill="FFFFFF"/>
        </w:rPr>
        <w:t xml:space="preserve"> arguments that populated areas attract more people; economic factors are the greatest</w:t>
      </w:r>
      <w:r>
        <w:rPr>
          <w:color w:val="1B1B1B"/>
          <w:shd w:val="clear" w:color="auto" w:fill="FFFFFF"/>
        </w:rPr>
        <w:t xml:space="preserve"> pull factors for migrants and women prefer to move within a country as opposed to migrating internationally. I also agree with the argument that migration increases with ease in transportation and growth of industries. It is also true that youths are like</w:t>
      </w:r>
      <w:r>
        <w:rPr>
          <w:color w:val="1B1B1B"/>
          <w:shd w:val="clear" w:color="auto" w:fill="FFFFFF"/>
        </w:rPr>
        <w:t xml:space="preserve">ly to migrate compared to older people. However, I disagree with </w:t>
      </w:r>
      <w:proofErr w:type="spellStart"/>
      <w:r>
        <w:rPr>
          <w:color w:val="1B1B1B"/>
          <w:shd w:val="clear" w:color="auto" w:fill="FFFFFF"/>
        </w:rPr>
        <w:t>Ravenstein’</w:t>
      </w:r>
      <w:r>
        <w:rPr>
          <w:color w:val="1B1B1B"/>
          <w:shd w:val="clear" w:color="auto" w:fill="FFFFFF"/>
        </w:rPr>
        <w:t>s</w:t>
      </w:r>
      <w:proofErr w:type="spellEnd"/>
      <w:r>
        <w:rPr>
          <w:color w:val="1B1B1B"/>
          <w:shd w:val="clear" w:color="auto" w:fill="FFFFFF"/>
        </w:rPr>
        <w:t xml:space="preserve"> argument of people having to move for others to migrate.</w:t>
      </w: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p w:rsidR="005E1DB3" w:rsidRPr="009C1E95" w:rsidRDefault="007B69D5" w:rsidP="009C1E95">
      <w:pPr>
        <w:jc w:val="center"/>
        <w:rPr>
          <w:b/>
          <w:color w:val="1B1B1B"/>
          <w:shd w:val="clear" w:color="auto" w:fill="FFFFFF"/>
        </w:rPr>
      </w:pPr>
      <w:r w:rsidRPr="009C1E95">
        <w:rPr>
          <w:b/>
          <w:color w:val="1B1B1B"/>
          <w:shd w:val="clear" w:color="auto" w:fill="FFFFFF"/>
        </w:rPr>
        <w:lastRenderedPageBreak/>
        <w:t>References</w:t>
      </w:r>
    </w:p>
    <w:p w:rsidR="005E1DB3" w:rsidRDefault="007B69D5" w:rsidP="009C1E95">
      <w:pPr>
        <w:ind w:left="720" w:hanging="720"/>
        <w:rPr>
          <w:color w:val="1B1B1B"/>
          <w:shd w:val="clear" w:color="auto" w:fill="FFFFFF"/>
        </w:rPr>
      </w:pPr>
      <w:r>
        <w:rPr>
          <w:color w:val="1B1B1B"/>
          <w:shd w:val="clear" w:color="auto" w:fill="FFFFFF"/>
        </w:rPr>
        <w:t xml:space="preserve">Greenwood, M.J. (2019). </w:t>
      </w:r>
      <w:proofErr w:type="gramStart"/>
      <w:r>
        <w:rPr>
          <w:color w:val="1B1B1B"/>
          <w:shd w:val="clear" w:color="auto" w:fill="FFFFFF"/>
        </w:rPr>
        <w:t xml:space="preserve">The migration legacy of EG </w:t>
      </w:r>
      <w:bookmarkStart w:id="0" w:name="_GoBack"/>
      <w:bookmarkEnd w:id="0"/>
      <w:proofErr w:type="spellStart"/>
      <w:r>
        <w:rPr>
          <w:color w:val="1B1B1B"/>
          <w:shd w:val="clear" w:color="auto" w:fill="FFFFFF"/>
        </w:rPr>
        <w:t>Ravenstein</w:t>
      </w:r>
      <w:proofErr w:type="spellEnd"/>
      <w:r>
        <w:rPr>
          <w:color w:val="1B1B1B"/>
          <w:shd w:val="clear" w:color="auto" w:fill="FFFFFF"/>
        </w:rPr>
        <w:t>.</w:t>
      </w:r>
      <w:proofErr w:type="gramEnd"/>
      <w:r>
        <w:rPr>
          <w:color w:val="1B1B1B"/>
          <w:shd w:val="clear" w:color="auto" w:fill="FFFFFF"/>
        </w:rPr>
        <w:t xml:space="preserve"> </w:t>
      </w:r>
      <w:r>
        <w:rPr>
          <w:i/>
          <w:color w:val="1B1B1B"/>
          <w:shd w:val="clear" w:color="auto" w:fill="FFFFFF"/>
        </w:rPr>
        <w:t>Migration Studies</w:t>
      </w:r>
      <w:r>
        <w:rPr>
          <w:color w:val="1B1B1B"/>
          <w:shd w:val="clear" w:color="auto" w:fill="FFFFFF"/>
        </w:rPr>
        <w:t>, 7(2), 269-278</w:t>
      </w:r>
    </w:p>
    <w:p w:rsidR="005E1DB3" w:rsidRDefault="007B69D5" w:rsidP="009C1E95">
      <w:pPr>
        <w:ind w:left="720" w:hanging="720"/>
        <w:rPr>
          <w:color w:val="1B1B1B"/>
          <w:shd w:val="clear" w:color="auto" w:fill="FFFFFF"/>
        </w:rPr>
      </w:pPr>
      <w:proofErr w:type="gramStart"/>
      <w:r>
        <w:rPr>
          <w:color w:val="1B1B1B"/>
          <w:shd w:val="clear" w:color="auto" w:fill="FFFFFF"/>
        </w:rPr>
        <w:t>Sun, L. (2019).</w:t>
      </w:r>
      <w:proofErr w:type="gramEnd"/>
      <w:r>
        <w:rPr>
          <w:color w:val="1B1B1B"/>
          <w:shd w:val="clear" w:color="auto" w:fill="FFFFFF"/>
        </w:rPr>
        <w:t xml:space="preserve"> </w:t>
      </w:r>
      <w:proofErr w:type="gramStart"/>
      <w:r>
        <w:rPr>
          <w:color w:val="1B1B1B"/>
          <w:shd w:val="clear" w:color="auto" w:fill="FFFFFF"/>
        </w:rPr>
        <w:t>A Glance on Rural-Urban Migration.</w:t>
      </w:r>
      <w:proofErr w:type="gramEnd"/>
      <w:r>
        <w:rPr>
          <w:color w:val="1B1B1B"/>
          <w:shd w:val="clear" w:color="auto" w:fill="FFFFFF"/>
        </w:rPr>
        <w:t xml:space="preserve"> </w:t>
      </w:r>
      <w:proofErr w:type="gramStart"/>
      <w:r>
        <w:rPr>
          <w:i/>
          <w:color w:val="1B1B1B"/>
          <w:shd w:val="clear" w:color="auto" w:fill="FFFFFF"/>
        </w:rPr>
        <w:t>In Rural-Urban Migration and Policy Intervention in China</w:t>
      </w:r>
      <w:r>
        <w:rPr>
          <w:color w:val="1B1B1B"/>
          <w:shd w:val="clear" w:color="auto" w:fill="FFFFFF"/>
        </w:rPr>
        <w:t xml:space="preserve"> (pp. 11-38).</w:t>
      </w:r>
      <w:proofErr w:type="gramEnd"/>
      <w:r>
        <w:rPr>
          <w:color w:val="1B1B1B"/>
          <w:shd w:val="clear" w:color="auto" w:fill="FFFFFF"/>
        </w:rPr>
        <w:t xml:space="preserve"> Palgrave Macmillan, Singapore</w:t>
      </w:r>
    </w:p>
    <w:p w:rsidR="005E1DB3" w:rsidRDefault="005E1DB3">
      <w:pPr>
        <w:ind w:firstLine="284"/>
        <w:rPr>
          <w:color w:val="1B1B1B"/>
          <w:shd w:val="clear" w:color="auto" w:fill="FFFFFF"/>
        </w:rPr>
      </w:pPr>
    </w:p>
    <w:p w:rsidR="005E1DB3" w:rsidRDefault="005E1DB3">
      <w:pPr>
        <w:ind w:firstLine="284"/>
        <w:rPr>
          <w:color w:val="1B1B1B"/>
          <w:shd w:val="clear" w:color="auto" w:fill="FFFFFF"/>
        </w:rPr>
      </w:pPr>
    </w:p>
    <w:sectPr w:rsidR="005E1DB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9D5" w:rsidRDefault="007B69D5">
      <w:pPr>
        <w:spacing w:line="240" w:lineRule="auto"/>
      </w:pPr>
      <w:r>
        <w:separator/>
      </w:r>
    </w:p>
  </w:endnote>
  <w:endnote w:type="continuationSeparator" w:id="0">
    <w:p w:rsidR="007B69D5" w:rsidRDefault="007B69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9D5" w:rsidRDefault="007B69D5">
      <w:pPr>
        <w:spacing w:line="240" w:lineRule="auto"/>
      </w:pPr>
      <w:r>
        <w:separator/>
      </w:r>
    </w:p>
  </w:footnote>
  <w:footnote w:type="continuationSeparator" w:id="0">
    <w:p w:rsidR="007B69D5" w:rsidRDefault="007B69D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DB3" w:rsidRDefault="007B69D5">
    <w:pPr>
      <w:pStyle w:val="Header"/>
      <w:jc w:val="right"/>
    </w:pPr>
    <w:r>
      <w:fldChar w:fldCharType="begin"/>
    </w:r>
    <w:r>
      <w:instrText xml:space="preserve"> PAGE   \* MERGEFORMAT </w:instrText>
    </w:r>
    <w:r>
      <w:fldChar w:fldCharType="separate"/>
    </w:r>
    <w:r w:rsidR="009C1E95">
      <w:rPr>
        <w:noProof/>
      </w:rPr>
      <w:t>4</w:t>
    </w:r>
    <w:r>
      <w:rPr>
        <w:noProof/>
      </w:rPr>
      <w:fldChar w:fldCharType="end"/>
    </w:r>
  </w:p>
  <w:p w:rsidR="005E1DB3" w:rsidRDefault="005E1D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DB3"/>
    <w:rsid w:val="005362BE"/>
    <w:rsid w:val="005E1DB3"/>
    <w:rsid w:val="007B69D5"/>
    <w:rsid w:val="009C1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cs="SimSun"/>
      <w:bCs/>
      <w:sz w:val="22"/>
      <w:szCs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cs="SimSun"/>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cs="SimSun"/>
      <w:bCs/>
      <w:sz w:val="22"/>
      <w:szCs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cs="SimSun"/>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473</Words>
  <Characters>2699</Characters>
  <Application>Microsoft Office Word</Application>
  <DocSecurity>0</DocSecurity>
  <Lines>22</Lines>
  <Paragraphs>6</Paragraphs>
  <ScaleCrop>false</ScaleCrop>
  <Company/>
  <LinksUpToDate>false</LinksUpToDate>
  <CharactersWithSpaces>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18</cp:revision>
  <dcterms:created xsi:type="dcterms:W3CDTF">2020-08-31T04:42:00Z</dcterms:created>
  <dcterms:modified xsi:type="dcterms:W3CDTF">2020-08-31T09:34:00Z</dcterms:modified>
</cp:coreProperties>
</file>